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86" w:rsidRDefault="00C86BEF" w:rsidP="00E10386">
      <w:pPr>
        <w:jc w:val="center"/>
        <w:rPr>
          <w:b/>
          <w:sz w:val="32"/>
        </w:rPr>
      </w:pPr>
      <w:r w:rsidRPr="00C86BEF">
        <w:rPr>
          <w:b/>
          <w:sz w:val="32"/>
        </w:rPr>
        <w:t>Tisková zpráva</w:t>
      </w:r>
      <w:r w:rsidR="00E10386">
        <w:rPr>
          <w:b/>
          <w:sz w:val="32"/>
        </w:rPr>
        <w:t xml:space="preserve"> – Praha dne 19. 11. 2015</w:t>
      </w:r>
    </w:p>
    <w:p w:rsidR="00E10386" w:rsidRDefault="00E10386" w:rsidP="00E10386">
      <w:pPr>
        <w:jc w:val="center"/>
        <w:rPr>
          <w:b/>
          <w:sz w:val="32"/>
        </w:rPr>
      </w:pPr>
      <w:r>
        <w:rPr>
          <w:b/>
          <w:sz w:val="32"/>
        </w:rPr>
        <w:t xml:space="preserve">CGM </w:t>
      </w:r>
      <w:r w:rsidR="00C86BEF" w:rsidRPr="00C86BEF">
        <w:rPr>
          <w:b/>
          <w:sz w:val="32"/>
        </w:rPr>
        <w:t xml:space="preserve">ZDRAVOTNÍ POJIŠŤOVNA </w:t>
      </w:r>
      <w:r w:rsidR="00884392">
        <w:rPr>
          <w:b/>
          <w:sz w:val="32"/>
        </w:rPr>
        <w:t xml:space="preserve">ROKU </w:t>
      </w:r>
      <w:r w:rsidR="00641D5E">
        <w:rPr>
          <w:b/>
          <w:sz w:val="32"/>
        </w:rPr>
        <w:t>2015</w:t>
      </w:r>
    </w:p>
    <w:p w:rsidR="00E9041A" w:rsidRPr="00E10386" w:rsidRDefault="00654BF1" w:rsidP="00E10386">
      <w:pPr>
        <w:rPr>
          <w:b/>
          <w:sz w:val="32"/>
        </w:rPr>
      </w:pPr>
      <w:r w:rsidRPr="00884392">
        <w:rPr>
          <w:rFonts w:cs="Times New Roman"/>
        </w:rPr>
        <w:t>„</w:t>
      </w:r>
      <w:r>
        <w:rPr>
          <w:rFonts w:cs="Times New Roman"/>
        </w:rPr>
        <w:t>Z</w:t>
      </w:r>
      <w:r w:rsidRPr="00884392">
        <w:rPr>
          <w:rFonts w:cs="Times New Roman"/>
        </w:rPr>
        <w:t xml:space="preserve">dravotní pojišťovna </w:t>
      </w:r>
      <w:r>
        <w:rPr>
          <w:rFonts w:cs="Times New Roman"/>
        </w:rPr>
        <w:t xml:space="preserve">roku </w:t>
      </w:r>
      <w:r w:rsidRPr="00884392">
        <w:rPr>
          <w:rFonts w:cs="Times New Roman"/>
        </w:rPr>
        <w:t>2015“</w:t>
      </w:r>
      <w:r>
        <w:rPr>
          <w:rFonts w:cs="Times New Roman"/>
        </w:rPr>
        <w:t xml:space="preserve"> je </w:t>
      </w:r>
      <w:r w:rsidR="00AD2023">
        <w:rPr>
          <w:color w:val="000000" w:themeColor="text1"/>
        </w:rPr>
        <w:t xml:space="preserve">unikátní </w:t>
      </w:r>
      <w:r w:rsidR="00E9041A" w:rsidRPr="00E9041A">
        <w:rPr>
          <w:color w:val="000000" w:themeColor="text1"/>
        </w:rPr>
        <w:t>žebříček zdravotních pojišťoven z pohledu:</w:t>
      </w:r>
    </w:p>
    <w:p w:rsidR="00E9041A" w:rsidRPr="00653612" w:rsidRDefault="001875A8" w:rsidP="00E9041A">
      <w:pPr>
        <w:pStyle w:val="Odstavecseseznamem"/>
        <w:numPr>
          <w:ilvl w:val="0"/>
          <w:numId w:val="3"/>
        </w:numPr>
      </w:pPr>
      <w:r>
        <w:t>managementu</w:t>
      </w:r>
      <w:r w:rsidR="00E9041A" w:rsidRPr="00653612">
        <w:t xml:space="preserve"> </w:t>
      </w:r>
      <w:r>
        <w:t>více než 150</w:t>
      </w:r>
      <w:r w:rsidR="00AD2023" w:rsidRPr="00653612">
        <w:t xml:space="preserve"> </w:t>
      </w:r>
      <w:r w:rsidR="00FC438B">
        <w:t xml:space="preserve">českých </w:t>
      </w:r>
      <w:r w:rsidR="00E9041A" w:rsidRPr="00653612">
        <w:t>nemocnic (červen 2015)</w:t>
      </w:r>
      <w:r w:rsidR="00E10386" w:rsidRPr="00E10386">
        <w:rPr>
          <w:b/>
          <w:noProof/>
          <w:sz w:val="32"/>
        </w:rPr>
        <w:t xml:space="preserve"> </w:t>
      </w:r>
    </w:p>
    <w:p w:rsidR="00E9041A" w:rsidRPr="00E9041A" w:rsidRDefault="00AD2023" w:rsidP="00E9041A">
      <w:pPr>
        <w:pStyle w:val="Odstavecseseznamem"/>
        <w:numPr>
          <w:ilvl w:val="0"/>
          <w:numId w:val="3"/>
        </w:numPr>
      </w:pPr>
      <w:r>
        <w:t xml:space="preserve">14 000 </w:t>
      </w:r>
      <w:r w:rsidR="00E9041A" w:rsidRPr="00E9041A">
        <w:t>ambulantních lékařů (</w:t>
      </w:r>
      <w:r w:rsidR="00FC438B">
        <w:t>listopad</w:t>
      </w:r>
      <w:r w:rsidR="00E9041A" w:rsidRPr="00E9041A">
        <w:t xml:space="preserve"> 2015)</w:t>
      </w:r>
    </w:p>
    <w:p w:rsidR="00E9041A" w:rsidRPr="001875A8" w:rsidRDefault="001875A8" w:rsidP="00E9041A">
      <w:pPr>
        <w:pStyle w:val="Odstavecseseznamem"/>
        <w:numPr>
          <w:ilvl w:val="0"/>
          <w:numId w:val="3"/>
        </w:numPr>
      </w:pPr>
      <w:r>
        <w:t>p</w:t>
      </w:r>
      <w:r w:rsidRPr="001875A8">
        <w:t>ojištěnců a pacientských organizací</w:t>
      </w:r>
      <w:r w:rsidR="00FC438B">
        <w:t xml:space="preserve"> (listopad 2015)</w:t>
      </w:r>
    </w:p>
    <w:p w:rsidR="00E9041A" w:rsidRPr="00E9041A" w:rsidRDefault="00E9041A" w:rsidP="00E9041A">
      <w:pPr>
        <w:pStyle w:val="Odstavecseseznamem"/>
        <w:jc w:val="both"/>
        <w:rPr>
          <w:rFonts w:asciiTheme="minorHAnsi" w:hAnsiTheme="minorHAnsi"/>
          <w:color w:val="000000" w:themeColor="text1"/>
        </w:rPr>
      </w:pPr>
    </w:p>
    <w:p w:rsidR="00D60355" w:rsidRPr="00FC438B" w:rsidRDefault="00884392" w:rsidP="00E9041A">
      <w:pPr>
        <w:jc w:val="both"/>
        <w:rPr>
          <w:rFonts w:cs="Times New Roman"/>
          <w:b/>
          <w:color w:val="000000" w:themeColor="text1"/>
        </w:rPr>
      </w:pPr>
      <w:r w:rsidRPr="00FC438B">
        <w:rPr>
          <w:rFonts w:cs="Times New Roman"/>
          <w:b/>
          <w:color w:val="000000" w:themeColor="text1"/>
        </w:rPr>
        <w:t xml:space="preserve">Cílem projektu je zvýšení </w:t>
      </w:r>
      <w:r w:rsidR="00654BF1" w:rsidRPr="00FC438B">
        <w:rPr>
          <w:rFonts w:cs="Times New Roman"/>
          <w:b/>
          <w:color w:val="000000" w:themeColor="text1"/>
        </w:rPr>
        <w:t>kvality</w:t>
      </w:r>
      <w:r w:rsidR="00D60355" w:rsidRPr="00FC438B">
        <w:rPr>
          <w:rFonts w:cs="Times New Roman"/>
          <w:b/>
          <w:color w:val="000000" w:themeColor="text1"/>
        </w:rPr>
        <w:t xml:space="preserve"> poskytovaného servisu zdravotních pojišťoven jejich klientům pro</w:t>
      </w:r>
      <w:r w:rsidR="00654BF1" w:rsidRPr="00FC438B">
        <w:rPr>
          <w:rFonts w:cs="Times New Roman"/>
          <w:b/>
          <w:color w:val="000000" w:themeColor="text1"/>
        </w:rPr>
        <w:t xml:space="preserve">střednictvím porovnávání služeb, které nabízejí. Chceme </w:t>
      </w:r>
      <w:r w:rsidR="00D60355" w:rsidRPr="00FC438B">
        <w:rPr>
          <w:rFonts w:cs="Times New Roman"/>
          <w:b/>
          <w:color w:val="000000" w:themeColor="text1"/>
        </w:rPr>
        <w:t xml:space="preserve">poskytnout ucelený obraz o tomto trhu a pomoci </w:t>
      </w:r>
      <w:r w:rsidR="00D60355" w:rsidRPr="00FC438B">
        <w:rPr>
          <w:rFonts w:cs="Times New Roman"/>
          <w:b/>
        </w:rPr>
        <w:t xml:space="preserve">se snadněji zorientovat </w:t>
      </w:r>
      <w:r w:rsidR="001875A8" w:rsidRPr="00FC438B">
        <w:rPr>
          <w:rFonts w:cs="Times New Roman"/>
          <w:b/>
        </w:rPr>
        <w:t>ve</w:t>
      </w:r>
      <w:r w:rsidR="00D60355" w:rsidRPr="00FC438B">
        <w:rPr>
          <w:rFonts w:cs="Times New Roman"/>
          <w:b/>
        </w:rPr>
        <w:t xml:space="preserve"> službách, které zdravotní pojišťovny nabízejí.</w:t>
      </w:r>
    </w:p>
    <w:p w:rsidR="00386F9C" w:rsidRDefault="00654BF1" w:rsidP="007554AF">
      <w:pPr>
        <w:jc w:val="both"/>
        <w:rPr>
          <w:rFonts w:cs="Times New Roman"/>
        </w:rPr>
      </w:pPr>
      <w:r w:rsidRPr="00654BF1">
        <w:rPr>
          <w:rFonts w:cs="Times New Roman"/>
          <w:i/>
        </w:rPr>
        <w:t xml:space="preserve"> </w:t>
      </w:r>
      <w:r w:rsidR="007554AF" w:rsidRPr="00654BF1">
        <w:rPr>
          <w:rFonts w:cs="Times New Roman"/>
          <w:i/>
        </w:rPr>
        <w:t xml:space="preserve">„Již 10 let se zabýváme hodnocením nemocnic a množí se nám dotazy, jak vybrat vhodnou nemocnici a zdravotní pojišťovnu. V této oblasti se lidé nejčastěji zajímají o oblast preventivních programů pro sebe a svou rodinu a také to, na kterou nemocnici </w:t>
      </w:r>
      <w:r w:rsidR="00E10386">
        <w:rPr>
          <w:rFonts w:cs="Times New Roman"/>
          <w:i/>
        </w:rPr>
        <w:t xml:space="preserve">a pojišťovnu </w:t>
      </w:r>
      <w:r w:rsidR="007554AF" w:rsidRPr="00654BF1">
        <w:rPr>
          <w:rFonts w:cs="Times New Roman"/>
          <w:i/>
        </w:rPr>
        <w:t>se mají obrátit v případě řešení zdravotního problému nebo zákroku,“</w:t>
      </w:r>
      <w:r w:rsidR="007554AF" w:rsidRPr="00654BF1">
        <w:rPr>
          <w:rFonts w:cs="Times New Roman"/>
        </w:rPr>
        <w:t xml:space="preserve"> říká ředitel Health</w:t>
      </w:r>
      <w:r w:rsidR="00C7483F">
        <w:rPr>
          <w:rFonts w:cs="Times New Roman"/>
        </w:rPr>
        <w:t>Care Institute Daniel Vavřina.</w:t>
      </w:r>
    </w:p>
    <w:p w:rsidR="00FC438B" w:rsidRPr="00E10386" w:rsidRDefault="00E10386" w:rsidP="007554AF">
      <w:pPr>
        <w:jc w:val="both"/>
        <w:rPr>
          <w:rFonts w:cs="Times New Roman"/>
          <w:i/>
        </w:rPr>
      </w:pPr>
      <w:r>
        <w:rPr>
          <w:rFonts w:cs="Times New Roman"/>
        </w:rPr>
        <w:t xml:space="preserve">Anketa probíhala elektronicky prostřednictvím Ambulantních informačních systémů, které provozuje </w:t>
      </w:r>
      <w:proofErr w:type="spellStart"/>
      <w:r>
        <w:rPr>
          <w:rFonts w:cs="Times New Roman"/>
        </w:rPr>
        <w:t>CompuGroup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Medical</w:t>
      </w:r>
      <w:proofErr w:type="spellEnd"/>
      <w:r>
        <w:rPr>
          <w:rFonts w:cs="Times New Roman"/>
        </w:rPr>
        <w:t xml:space="preserve"> ČR.</w:t>
      </w:r>
      <w:r w:rsidRPr="00E10386">
        <w:rPr>
          <w:rFonts w:cs="Times New Roman"/>
          <w:i/>
        </w:rPr>
        <w:t xml:space="preserve"> </w:t>
      </w:r>
      <w:r w:rsidR="00FC438B" w:rsidRPr="00E10386">
        <w:rPr>
          <w:rFonts w:cs="Times New Roman"/>
          <w:i/>
        </w:rPr>
        <w:t xml:space="preserve">„Využili jsme naši možnost komunikovat elektronicky online s více než </w:t>
      </w:r>
      <w:r>
        <w:rPr>
          <w:rFonts w:cs="Times New Roman"/>
          <w:i/>
        </w:rPr>
        <w:t>14.000</w:t>
      </w:r>
      <w:r w:rsidR="00FC438B" w:rsidRPr="00E10386">
        <w:rPr>
          <w:rFonts w:cs="Times New Roman"/>
          <w:i/>
        </w:rPr>
        <w:t xml:space="preserve"> praktickými </w:t>
      </w:r>
      <w:proofErr w:type="gramStart"/>
      <w:r w:rsidR="00FC438B" w:rsidRPr="00E10386">
        <w:rPr>
          <w:rFonts w:cs="Times New Roman"/>
          <w:i/>
        </w:rPr>
        <w:t xml:space="preserve">lékaři </w:t>
      </w:r>
      <w:r w:rsidR="002F0D97">
        <w:rPr>
          <w:rFonts w:cs="Times New Roman"/>
          <w:i/>
        </w:rPr>
        <w:t xml:space="preserve">                           </w:t>
      </w:r>
      <w:r w:rsidR="00FC438B" w:rsidRPr="00E10386">
        <w:rPr>
          <w:rFonts w:cs="Times New Roman"/>
          <w:i/>
        </w:rPr>
        <w:t>a ambulantními</w:t>
      </w:r>
      <w:proofErr w:type="gramEnd"/>
      <w:r w:rsidR="00FC438B" w:rsidRPr="00E10386">
        <w:rPr>
          <w:rFonts w:cs="Times New Roman"/>
          <w:i/>
        </w:rPr>
        <w:t xml:space="preserve"> specialisty (více než 70% celkového počtu v ČR). Výzkum, který jsme </w:t>
      </w:r>
      <w:r w:rsidR="002F0D97">
        <w:rPr>
          <w:rFonts w:cs="Times New Roman"/>
          <w:i/>
        </w:rPr>
        <w:t>reali</w:t>
      </w:r>
      <w:r>
        <w:rPr>
          <w:rFonts w:cs="Times New Roman"/>
          <w:i/>
        </w:rPr>
        <w:t>zovali</w:t>
      </w:r>
      <w:r w:rsidRPr="00E10386">
        <w:rPr>
          <w:rFonts w:cs="Times New Roman"/>
          <w:i/>
        </w:rPr>
        <w:t>,</w:t>
      </w:r>
      <w:r w:rsidR="00FC438B" w:rsidRPr="00E10386">
        <w:rPr>
          <w:rFonts w:cs="Times New Roman"/>
          <w:i/>
        </w:rPr>
        <w:t xml:space="preserve"> je v ČR jedinečný svým rozsahem</w:t>
      </w:r>
      <w:r w:rsidR="002F0D97">
        <w:rPr>
          <w:rFonts w:cs="Times New Roman"/>
          <w:i/>
        </w:rPr>
        <w:t>,</w:t>
      </w:r>
      <w:r w:rsidR="00FC438B" w:rsidRPr="00E10386">
        <w:rPr>
          <w:rFonts w:cs="Times New Roman"/>
          <w:i/>
        </w:rPr>
        <w:t>“</w:t>
      </w:r>
      <w:r>
        <w:rPr>
          <w:rFonts w:cs="Times New Roman"/>
          <w:i/>
        </w:rPr>
        <w:t xml:space="preserve"> dodal Ivan Dvořák, expert na e-</w:t>
      </w:r>
      <w:proofErr w:type="spellStart"/>
      <w:r>
        <w:rPr>
          <w:rFonts w:cs="Times New Roman"/>
          <w:i/>
        </w:rPr>
        <w:t>Health</w:t>
      </w:r>
      <w:proofErr w:type="spellEnd"/>
      <w:r>
        <w:rPr>
          <w:rFonts w:cs="Times New Roman"/>
          <w:i/>
        </w:rPr>
        <w:t xml:space="preserve"> a marketingový ředitel </w:t>
      </w:r>
      <w:proofErr w:type="spellStart"/>
      <w:r>
        <w:rPr>
          <w:rFonts w:cs="Times New Roman"/>
          <w:i/>
        </w:rPr>
        <w:t>CompuGroup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Medical</w:t>
      </w:r>
      <w:proofErr w:type="spellEnd"/>
      <w:r>
        <w:rPr>
          <w:rFonts w:cs="Times New Roman"/>
          <w:i/>
        </w:rPr>
        <w:t xml:space="preserve"> ČR.</w:t>
      </w:r>
    </w:p>
    <w:p w:rsidR="00E10386" w:rsidRPr="00E10386" w:rsidRDefault="00E10386" w:rsidP="00E10386">
      <w:pPr>
        <w:jc w:val="both"/>
        <w:rPr>
          <w:rFonts w:cs="Times New Roman"/>
          <w:b/>
        </w:rPr>
      </w:pPr>
      <w:r w:rsidRPr="00E10386">
        <w:rPr>
          <w:rFonts w:cs="Times New Roman"/>
          <w:b/>
        </w:rPr>
        <w:t>Ve druhé etapě, kde bylo osloveno 10.000 lékařů a hlasovalo téměř 1.000 praktických lékařů a ambulantních specialistů</w:t>
      </w:r>
      <w:r w:rsidR="002F0D97">
        <w:rPr>
          <w:rFonts w:cs="Times New Roman"/>
          <w:b/>
        </w:rPr>
        <w:t>,</w:t>
      </w:r>
      <w:r w:rsidRPr="00E10386">
        <w:rPr>
          <w:rFonts w:cs="Times New Roman"/>
          <w:b/>
        </w:rPr>
        <w:t xml:space="preserve"> bylo pořadí následující:</w:t>
      </w:r>
    </w:p>
    <w:p w:rsidR="00FC438B" w:rsidRPr="00E10386" w:rsidRDefault="00FC438B" w:rsidP="007554AF">
      <w:pPr>
        <w:jc w:val="both"/>
        <w:rPr>
          <w:rFonts w:cs="Times New Roman"/>
          <w:b/>
        </w:rPr>
      </w:pPr>
      <w:r w:rsidRPr="00E10386">
        <w:rPr>
          <w:rFonts w:cs="Times New Roman"/>
          <w:b/>
        </w:rPr>
        <w:t>CGM Zdravotní pojišťovna roku 2015</w:t>
      </w:r>
      <w:r w:rsidR="00E10386" w:rsidRPr="00E10386">
        <w:rPr>
          <w:rFonts w:cs="Times New Roman"/>
          <w:b/>
        </w:rPr>
        <w:t xml:space="preserve"> </w:t>
      </w:r>
      <w:r w:rsidRPr="00E10386">
        <w:rPr>
          <w:rFonts w:cs="Times New Roman"/>
          <w:b/>
        </w:rPr>
        <w:t>očima pr</w:t>
      </w:r>
      <w:r w:rsidR="00E230CC">
        <w:rPr>
          <w:rFonts w:cs="Times New Roman"/>
          <w:b/>
        </w:rPr>
        <w:t>aktických a ambulantních lékařů:</w:t>
      </w:r>
    </w:p>
    <w:p w:rsidR="00FC438B" w:rsidRPr="00FC438B" w:rsidRDefault="00FC438B" w:rsidP="00E230CC">
      <w:pPr>
        <w:rPr>
          <w:rFonts w:cs="Times New Roman"/>
          <w:b/>
        </w:rPr>
      </w:pPr>
      <w:r w:rsidRPr="00FC438B">
        <w:rPr>
          <w:rFonts w:cs="Times New Roman"/>
          <w:b/>
        </w:rPr>
        <w:t>1. Zdravotní pojišťovna Ministerstva vnitra</w:t>
      </w:r>
      <w:bookmarkStart w:id="0" w:name="_GoBack"/>
      <w:bookmarkEnd w:id="0"/>
    </w:p>
    <w:p w:rsidR="00FC438B" w:rsidRPr="00FC438B" w:rsidRDefault="00FC438B" w:rsidP="00E230CC">
      <w:pPr>
        <w:rPr>
          <w:rFonts w:cs="Times New Roman"/>
          <w:b/>
        </w:rPr>
      </w:pPr>
      <w:r w:rsidRPr="00FC438B">
        <w:rPr>
          <w:rFonts w:cs="Times New Roman"/>
          <w:b/>
        </w:rPr>
        <w:t>2. Všeobecná zdravotní pojišťovna ČR</w:t>
      </w:r>
    </w:p>
    <w:p w:rsidR="00FC438B" w:rsidRPr="00FC438B" w:rsidRDefault="00FC438B" w:rsidP="00E230CC">
      <w:pPr>
        <w:rPr>
          <w:rFonts w:cs="Times New Roman"/>
          <w:b/>
        </w:rPr>
      </w:pPr>
      <w:r w:rsidRPr="00FC438B">
        <w:rPr>
          <w:rFonts w:cs="Times New Roman"/>
          <w:b/>
        </w:rPr>
        <w:t>3. Česká průmyslová zdravotní pojišťovna</w:t>
      </w:r>
    </w:p>
    <w:p w:rsidR="00FC438B" w:rsidRDefault="00FC438B" w:rsidP="007554AF">
      <w:pPr>
        <w:jc w:val="both"/>
        <w:rPr>
          <w:rFonts w:cs="Times New Roman"/>
        </w:rPr>
      </w:pPr>
      <w:r>
        <w:rPr>
          <w:rFonts w:cs="Times New Roman"/>
        </w:rPr>
        <w:t>Kritéria byla:</w:t>
      </w:r>
    </w:p>
    <w:p w:rsidR="00FC438B" w:rsidRPr="00E10386" w:rsidRDefault="00FC438B" w:rsidP="00E10386">
      <w:pPr>
        <w:pStyle w:val="Odstavecseseznamem"/>
        <w:numPr>
          <w:ilvl w:val="0"/>
          <w:numId w:val="18"/>
        </w:numPr>
        <w:jc w:val="both"/>
      </w:pPr>
      <w:r w:rsidRPr="00E10386">
        <w:t>Kvalita vzájemné komunikace a dodržování dohod</w:t>
      </w:r>
    </w:p>
    <w:p w:rsidR="00FC438B" w:rsidRPr="00E10386" w:rsidRDefault="00FC438B" w:rsidP="00E10386">
      <w:pPr>
        <w:pStyle w:val="Odstavecseseznamem"/>
        <w:numPr>
          <w:ilvl w:val="0"/>
          <w:numId w:val="18"/>
        </w:numPr>
        <w:jc w:val="both"/>
      </w:pPr>
      <w:r w:rsidRPr="00E10386">
        <w:t>Zavádění inovativních léčebných výkonů a kvality péče do úhrad.</w:t>
      </w:r>
    </w:p>
    <w:p w:rsidR="00FC438B" w:rsidRDefault="00FC438B" w:rsidP="00E10386">
      <w:pPr>
        <w:pStyle w:val="Odstavecseseznamem"/>
        <w:numPr>
          <w:ilvl w:val="0"/>
          <w:numId w:val="18"/>
        </w:numPr>
        <w:jc w:val="both"/>
      </w:pPr>
      <w:r w:rsidRPr="00E10386">
        <w:t>Kvalita elektronické komunikace a portálu a úroveň marketingové prezentace se zaměřením na preventivní programy.</w:t>
      </w:r>
    </w:p>
    <w:p w:rsidR="00E10386" w:rsidRDefault="00E10386" w:rsidP="00E10386">
      <w:pPr>
        <w:jc w:val="both"/>
      </w:pPr>
    </w:p>
    <w:p w:rsidR="00E10386" w:rsidRDefault="00E10386" w:rsidP="00E10386">
      <w:pPr>
        <w:jc w:val="both"/>
      </w:pPr>
      <w:r>
        <w:t>Příloha: Detailní výsledky</w:t>
      </w:r>
    </w:p>
    <w:p w:rsidR="00E230CC" w:rsidRDefault="00E230CC" w:rsidP="00E10386">
      <w:pPr>
        <w:jc w:val="both"/>
      </w:pPr>
    </w:p>
    <w:p w:rsidR="00E230CC" w:rsidRDefault="00E230CC" w:rsidP="00E10386">
      <w:pPr>
        <w:jc w:val="both"/>
      </w:pPr>
    </w:p>
    <w:p w:rsidR="00E230CC" w:rsidRDefault="00E230CC" w:rsidP="00E10386">
      <w:pPr>
        <w:jc w:val="both"/>
      </w:pPr>
    </w:p>
    <w:p w:rsidR="00E230CC" w:rsidRDefault="00E230CC" w:rsidP="00E10386">
      <w:pPr>
        <w:jc w:val="both"/>
      </w:pPr>
    </w:p>
    <w:p w:rsidR="00E230CC" w:rsidRDefault="00E230CC" w:rsidP="00E10386">
      <w:pPr>
        <w:jc w:val="both"/>
      </w:pPr>
    </w:p>
    <w:p w:rsidR="00E230CC" w:rsidRDefault="00E230CC" w:rsidP="00E10386">
      <w:pPr>
        <w:jc w:val="both"/>
      </w:pPr>
    </w:p>
    <w:p w:rsidR="00E230CC" w:rsidRPr="00E10386" w:rsidRDefault="00E230CC" w:rsidP="00E10386">
      <w:pPr>
        <w:jc w:val="both"/>
      </w:pPr>
    </w:p>
    <w:p w:rsidR="00E230CC" w:rsidRPr="00E230CC" w:rsidRDefault="00E230CC" w:rsidP="00E230CC">
      <w:pPr>
        <w:jc w:val="both"/>
        <w:rPr>
          <w:b/>
          <w:u w:val="single"/>
        </w:rPr>
      </w:pPr>
      <w:r w:rsidRPr="00E230CC">
        <w:rPr>
          <w:b/>
          <w:u w:val="single"/>
        </w:rPr>
        <w:t>O společnosti HealthCare Institute, o.p.s.</w:t>
      </w:r>
    </w:p>
    <w:p w:rsidR="00E230CC" w:rsidRPr="00E230CC" w:rsidRDefault="00E230CC" w:rsidP="00E230CC">
      <w:pPr>
        <w:jc w:val="both"/>
      </w:pPr>
      <w:r w:rsidRPr="00E230CC">
        <w:t xml:space="preserve">HealthCare Institute, o.p.s. (založena r. 2006) je nezisková organizace, která v roce 2015 realizuje již 10. ročník celostátního průzkumu „Nemocnice ČR“, během kterého jsou české nemocnice porovnávány  z pohledu Spokojenosti a bezpečnosti hospitalizovaných pacientů, Spokojenosti a bezpečnosti ambulantních pacientů, </w:t>
      </w:r>
      <w:proofErr w:type="gramStart"/>
      <w:r w:rsidRPr="00E230CC">
        <w:t xml:space="preserve">Spokojenosti </w:t>
      </w:r>
      <w:r w:rsidR="00115AB9">
        <w:t xml:space="preserve">                 </w:t>
      </w:r>
      <w:r w:rsidRPr="00E230CC">
        <w:t>a bezpečnosti</w:t>
      </w:r>
      <w:proofErr w:type="gramEnd"/>
      <w:r w:rsidRPr="00E230CC">
        <w:t xml:space="preserve"> zaměstnanců nemocnic a Finančního zdraví nemocnic. Pořádá také 10. ročník středoevropské odborné konference „Efektivní nemocnice“ se zaměřením na strategii nemocnic. Tato konference se bude konat ve dnech </w:t>
      </w:r>
      <w:r w:rsidR="00115AB9">
        <w:t xml:space="preserve">   </w:t>
      </w:r>
      <w:r w:rsidRPr="00E230CC">
        <w:t xml:space="preserve">24. – 25. listopadu 2015 v Praze. Mezi účastníky patří zřizovatelé a vrcholový management nemocnic a zdravotních pojišťoven z České republiky a Slovenské republiky, včetně odborníků na management ve zdravotnictví ze států Evropské unie. Více informací: </w:t>
      </w:r>
      <w:hyperlink r:id="rId7" w:history="1">
        <w:r w:rsidRPr="00E230CC">
          <w:t>www.hc-institute.org</w:t>
        </w:r>
      </w:hyperlink>
      <w:r w:rsidRPr="00E230CC">
        <w:t xml:space="preserve"> </w:t>
      </w:r>
    </w:p>
    <w:p w:rsidR="00E230CC" w:rsidRDefault="00E230CC" w:rsidP="00E230CC">
      <w:pPr>
        <w:jc w:val="both"/>
        <w:rPr>
          <w:b/>
        </w:rPr>
      </w:pPr>
    </w:p>
    <w:p w:rsidR="00E230CC" w:rsidRPr="00E230CC" w:rsidRDefault="00E230CC" w:rsidP="00E230CC">
      <w:pPr>
        <w:jc w:val="both"/>
        <w:rPr>
          <w:b/>
          <w:u w:val="single"/>
        </w:rPr>
      </w:pPr>
      <w:r w:rsidRPr="00E230CC">
        <w:rPr>
          <w:b/>
          <w:u w:val="single"/>
        </w:rPr>
        <w:t xml:space="preserve">O společnosti </w:t>
      </w:r>
      <w:proofErr w:type="spellStart"/>
      <w:r w:rsidRPr="00E230CC">
        <w:rPr>
          <w:b/>
          <w:u w:val="single"/>
        </w:rPr>
        <w:t>CompuGroup</w:t>
      </w:r>
      <w:proofErr w:type="spellEnd"/>
      <w:r w:rsidRPr="00E230CC">
        <w:rPr>
          <w:b/>
          <w:u w:val="single"/>
        </w:rPr>
        <w:t xml:space="preserve"> </w:t>
      </w:r>
      <w:proofErr w:type="spellStart"/>
      <w:r w:rsidRPr="00E230CC">
        <w:rPr>
          <w:b/>
          <w:u w:val="single"/>
        </w:rPr>
        <w:t>Medical</w:t>
      </w:r>
      <w:proofErr w:type="spellEnd"/>
      <w:r w:rsidRPr="00E230CC">
        <w:rPr>
          <w:b/>
          <w:u w:val="single"/>
        </w:rPr>
        <w:t xml:space="preserve"> Česká republika</w:t>
      </w:r>
    </w:p>
    <w:p w:rsidR="00E230CC" w:rsidRPr="00E230CC" w:rsidRDefault="00E230CC" w:rsidP="00E230CC">
      <w:pPr>
        <w:jc w:val="both"/>
      </w:pPr>
      <w:r w:rsidRPr="00E230CC">
        <w:t xml:space="preserve">Společnost </w:t>
      </w:r>
      <w:proofErr w:type="spellStart"/>
      <w:r w:rsidRPr="00E230CC">
        <w:t>CompuGroup</w:t>
      </w:r>
      <w:proofErr w:type="spellEnd"/>
      <w:r w:rsidRPr="00E230CC">
        <w:t xml:space="preserve"> </w:t>
      </w:r>
      <w:proofErr w:type="spellStart"/>
      <w:r w:rsidRPr="00E230CC">
        <w:t>Medical</w:t>
      </w:r>
      <w:proofErr w:type="spellEnd"/>
      <w:r w:rsidRPr="00E230CC">
        <w:t xml:space="preserve"> Česká republika vznikla v roce 2009 fúzí softwarových firem, jejichž vlastníkem byla mateřská společnost </w:t>
      </w:r>
      <w:proofErr w:type="spellStart"/>
      <w:r w:rsidRPr="00E230CC">
        <w:t>CompuGroup</w:t>
      </w:r>
      <w:proofErr w:type="spellEnd"/>
      <w:r w:rsidRPr="00E230CC">
        <w:t xml:space="preserve"> </w:t>
      </w:r>
      <w:proofErr w:type="spellStart"/>
      <w:r w:rsidRPr="00E230CC">
        <w:t>Medical</w:t>
      </w:r>
      <w:proofErr w:type="spellEnd"/>
      <w:r w:rsidRPr="00E230CC">
        <w:t xml:space="preserve">. Vizí společnosti je plně elektronizované zdravotnictví. </w:t>
      </w:r>
      <w:proofErr w:type="gramStart"/>
      <w:r w:rsidRPr="00E230CC">
        <w:t xml:space="preserve">Společnost </w:t>
      </w:r>
      <w:r w:rsidR="00115AB9">
        <w:t xml:space="preserve">           </w:t>
      </w:r>
      <w:r w:rsidRPr="00E230CC">
        <w:t>je</w:t>
      </w:r>
      <w:proofErr w:type="gramEnd"/>
      <w:r w:rsidRPr="00E230CC">
        <w:t xml:space="preserve"> lídrem tuzemského trhu ambulantních informačních systémů. Poskytuje rovněž softwarová řešení pro </w:t>
      </w:r>
      <w:proofErr w:type="gramStart"/>
      <w:r w:rsidRPr="00E230CC">
        <w:t xml:space="preserve">nemocnice </w:t>
      </w:r>
      <w:r>
        <w:t xml:space="preserve">      </w:t>
      </w:r>
      <w:r w:rsidRPr="00E230CC">
        <w:t>a laboratoře</w:t>
      </w:r>
      <w:proofErr w:type="gramEnd"/>
      <w:r w:rsidRPr="00E230CC">
        <w:t xml:space="preserve">. S jejími produkty a službami jsou lékaři spokojeni, což potvrzují pravidelné průzkumy. Vnímají ji jako společnost, která je flexibilní, inovativní, zajímá se o problémy a potřeby lékařů a v konečném důsledku jim usnadňuje život. Na pobočkách v Praze, Brně, Pardubicích a Ústí nad Orlicí pracuje 110 zaměstnanců. Společnost </w:t>
      </w:r>
      <w:proofErr w:type="spellStart"/>
      <w:r w:rsidRPr="00E230CC">
        <w:t>CompuGroup</w:t>
      </w:r>
      <w:proofErr w:type="spellEnd"/>
      <w:r w:rsidRPr="00E230CC">
        <w:t xml:space="preserve"> </w:t>
      </w:r>
      <w:proofErr w:type="spellStart"/>
      <w:r w:rsidRPr="00E230CC">
        <w:t>Medical</w:t>
      </w:r>
      <w:proofErr w:type="spellEnd"/>
      <w:r w:rsidRPr="00E230CC">
        <w:t xml:space="preserve"> Česká republika je od května 2012 členem ICT Unie. Více informací: </w:t>
      </w:r>
      <w:hyperlink r:id="rId8" w:history="1">
        <w:r w:rsidRPr="00E230CC">
          <w:t>www.cgm.cz</w:t>
        </w:r>
      </w:hyperlink>
      <w:r w:rsidRPr="00E230CC">
        <w:t xml:space="preserve"> </w:t>
      </w:r>
      <w:r>
        <w:t xml:space="preserve"> </w:t>
      </w:r>
    </w:p>
    <w:p w:rsidR="00F472E2" w:rsidRDefault="00F472E2" w:rsidP="007554AF">
      <w:pPr>
        <w:jc w:val="both"/>
        <w:rPr>
          <w:rFonts w:cs="Times New Roman"/>
        </w:rPr>
      </w:pPr>
    </w:p>
    <w:p w:rsidR="00E230CC" w:rsidRPr="00E230CC" w:rsidRDefault="00E230CC" w:rsidP="007554AF">
      <w:pPr>
        <w:jc w:val="both"/>
        <w:rPr>
          <w:rFonts w:cs="Times New Roman"/>
          <w:b/>
        </w:rPr>
      </w:pPr>
      <w:r w:rsidRPr="00E230CC">
        <w:rPr>
          <w:rFonts w:cs="Times New Roman"/>
          <w:b/>
        </w:rPr>
        <w:t xml:space="preserve">Kontakty </w:t>
      </w:r>
    </w:p>
    <w:p w:rsidR="00E230CC" w:rsidRPr="00E230CC" w:rsidRDefault="00E230CC" w:rsidP="00115AB9">
      <w:pPr>
        <w:pStyle w:val="Odstavecseseznamem"/>
        <w:numPr>
          <w:ilvl w:val="0"/>
          <w:numId w:val="21"/>
        </w:numPr>
      </w:pPr>
      <w:r w:rsidRPr="00115AB9">
        <w:rPr>
          <w:b/>
        </w:rPr>
        <w:t>p. Daniel Vavřina</w:t>
      </w:r>
      <w:r w:rsidRPr="00E230CC">
        <w:t xml:space="preserve"> - ředitel HealthCare Institute, o.p.</w:t>
      </w:r>
      <w:proofErr w:type="gramStart"/>
      <w:r w:rsidRPr="00E230CC">
        <w:t xml:space="preserve">s., </w:t>
      </w:r>
      <w:proofErr w:type="spellStart"/>
      <w:r>
        <w:t>d.vavrina</w:t>
      </w:r>
      <w:proofErr w:type="spellEnd"/>
      <w:r>
        <w:t>@</w:t>
      </w:r>
      <w:proofErr w:type="spellStart"/>
      <w:r>
        <w:t>hc</w:t>
      </w:r>
      <w:proofErr w:type="spellEnd"/>
      <w:r>
        <w:t>-institute</w:t>
      </w:r>
      <w:proofErr w:type="gramEnd"/>
      <w:r>
        <w:t>.</w:t>
      </w:r>
      <w:proofErr w:type="spellStart"/>
      <w:r>
        <w:t>org</w:t>
      </w:r>
      <w:proofErr w:type="spellEnd"/>
      <w:r>
        <w:t>, tel.: +420 608 878 400</w:t>
      </w:r>
    </w:p>
    <w:p w:rsidR="00E230CC" w:rsidRPr="00E230CC" w:rsidRDefault="00E230CC" w:rsidP="00115AB9">
      <w:pPr>
        <w:pStyle w:val="Odstavecseseznamem"/>
        <w:numPr>
          <w:ilvl w:val="0"/>
          <w:numId w:val="21"/>
        </w:numPr>
      </w:pPr>
      <w:r w:rsidRPr="00115AB9">
        <w:rPr>
          <w:b/>
        </w:rPr>
        <w:t>Mgr. Ivan Dvořák</w:t>
      </w:r>
      <w:r w:rsidRPr="00E230CC">
        <w:t xml:space="preserve"> - </w:t>
      </w:r>
      <w:proofErr w:type="spellStart"/>
      <w:r w:rsidRPr="00E230CC">
        <w:t>Head</w:t>
      </w:r>
      <w:proofErr w:type="spellEnd"/>
      <w:r w:rsidRPr="00E230CC">
        <w:t xml:space="preserve"> </w:t>
      </w:r>
      <w:proofErr w:type="spellStart"/>
      <w:r w:rsidRPr="00E230CC">
        <w:t>Of</w:t>
      </w:r>
      <w:proofErr w:type="spellEnd"/>
      <w:r w:rsidRPr="00E230CC">
        <w:t xml:space="preserve"> Marketing, Vicepresident Sales AIS, </w:t>
      </w:r>
      <w:proofErr w:type="spellStart"/>
      <w:r w:rsidRPr="00E230CC">
        <w:t>CompuGroup</w:t>
      </w:r>
      <w:proofErr w:type="spellEnd"/>
      <w:r w:rsidRPr="00E230CC">
        <w:t xml:space="preserve"> </w:t>
      </w:r>
      <w:proofErr w:type="spellStart"/>
      <w:r w:rsidRPr="00E230CC">
        <w:t>Medical</w:t>
      </w:r>
      <w:proofErr w:type="spellEnd"/>
      <w:r w:rsidRPr="00E230CC">
        <w:t xml:space="preserve"> Česká republika, s.r.</w:t>
      </w:r>
      <w:proofErr w:type="gramStart"/>
      <w:r w:rsidRPr="00E230CC">
        <w:t xml:space="preserve">o. , </w:t>
      </w:r>
      <w:proofErr w:type="spellStart"/>
      <w:r>
        <w:t>ivan</w:t>
      </w:r>
      <w:proofErr w:type="gramEnd"/>
      <w:r>
        <w:t>.dvorak</w:t>
      </w:r>
      <w:proofErr w:type="spellEnd"/>
      <w:r>
        <w:t>@cgm.com, tel.: +420 778 700 108</w:t>
      </w:r>
    </w:p>
    <w:p w:rsidR="00E230CC" w:rsidRDefault="00E230CC" w:rsidP="007554AF">
      <w:pPr>
        <w:jc w:val="both"/>
        <w:rPr>
          <w:rFonts w:cs="Times New Roman"/>
        </w:rPr>
      </w:pPr>
    </w:p>
    <w:p w:rsidR="00E230CC" w:rsidRPr="00654BF1" w:rsidRDefault="00E230CC" w:rsidP="007554AF">
      <w:pPr>
        <w:jc w:val="both"/>
        <w:rPr>
          <w:rFonts w:cs="Times New Roman"/>
        </w:rPr>
      </w:pPr>
    </w:p>
    <w:p w:rsidR="006861E4" w:rsidRPr="00C114C4" w:rsidRDefault="006861E4" w:rsidP="000E57E4">
      <w:pPr>
        <w:tabs>
          <w:tab w:val="left" w:pos="993"/>
        </w:tabs>
      </w:pPr>
    </w:p>
    <w:sectPr w:rsidR="006861E4" w:rsidRPr="00C114C4" w:rsidSect="00386F9C">
      <w:headerReference w:type="default" r:id="rId9"/>
      <w:footerReference w:type="default" r:id="rId10"/>
      <w:pgSz w:w="11906" w:h="16838"/>
      <w:pgMar w:top="720" w:right="720" w:bottom="720" w:left="720" w:header="90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5AA" w:rsidRDefault="004325AA" w:rsidP="00C86BEF">
      <w:pPr>
        <w:spacing w:after="0" w:line="240" w:lineRule="auto"/>
      </w:pPr>
      <w:r>
        <w:separator/>
      </w:r>
    </w:p>
  </w:endnote>
  <w:endnote w:type="continuationSeparator" w:id="0">
    <w:p w:rsidR="004325AA" w:rsidRDefault="004325AA" w:rsidP="00C8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5B7" w:rsidRDefault="00386F9C" w:rsidP="007A75B7">
    <w:pPr>
      <w:pStyle w:val="Zpat"/>
      <w:jc w:val="center"/>
    </w:pPr>
    <w:r>
      <w:t>HealthCare Institute, o.p.s.</w:t>
    </w:r>
    <w:r w:rsidR="007A75B7">
      <w:t xml:space="preserve">, </w:t>
    </w:r>
    <w:proofErr w:type="gramStart"/>
    <w:r w:rsidR="007A75B7">
      <w:t>www</w:t>
    </w:r>
    <w:proofErr w:type="gramEnd"/>
    <w:r w:rsidR="007A75B7">
      <w:t>.</w:t>
    </w:r>
    <w:proofErr w:type="gramStart"/>
    <w:r w:rsidR="007A75B7">
      <w:t>hc-institute</w:t>
    </w:r>
    <w:proofErr w:type="gramEnd"/>
    <w:r w:rsidR="007A75B7">
      <w:t>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5AA" w:rsidRDefault="004325AA" w:rsidP="00C86BEF">
      <w:pPr>
        <w:spacing w:after="0" w:line="240" w:lineRule="auto"/>
      </w:pPr>
      <w:r>
        <w:separator/>
      </w:r>
    </w:p>
  </w:footnote>
  <w:footnote w:type="continuationSeparator" w:id="0">
    <w:p w:rsidR="004325AA" w:rsidRDefault="004325AA" w:rsidP="00C86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BEF" w:rsidRDefault="00E1038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-518795</wp:posOffset>
          </wp:positionV>
          <wp:extent cx="1114425" cy="1085850"/>
          <wp:effectExtent l="19050" t="0" r="9525" b="0"/>
          <wp:wrapNone/>
          <wp:docPr id="7170" name="Picture 2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0" name="Picture 2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85850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effectLst/>
                  <a:extLst/>
                </pic:spPr>
              </pic:pic>
            </a:graphicData>
          </a:graphic>
        </wp:anchor>
      </w:drawing>
    </w:r>
    <w:r w:rsidR="00A801D1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5791828</wp:posOffset>
          </wp:positionH>
          <wp:positionV relativeFrom="paragraph">
            <wp:posOffset>-465413</wp:posOffset>
          </wp:positionV>
          <wp:extent cx="1186752" cy="602901"/>
          <wp:effectExtent l="19050" t="0" r="0" b="0"/>
          <wp:wrapNone/>
          <wp:docPr id="5" name="Obrázek 4" descr="0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7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86752" cy="602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139E"/>
    <w:multiLevelType w:val="hybridMultilevel"/>
    <w:tmpl w:val="81620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709B7"/>
    <w:multiLevelType w:val="hybridMultilevel"/>
    <w:tmpl w:val="B9C41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13B34"/>
    <w:multiLevelType w:val="hybridMultilevel"/>
    <w:tmpl w:val="6396C91E"/>
    <w:lvl w:ilvl="0" w:tplc="93A22AB2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A6F0F"/>
    <w:multiLevelType w:val="hybridMultilevel"/>
    <w:tmpl w:val="148A6BB6"/>
    <w:lvl w:ilvl="0" w:tplc="EB42EF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21E2C"/>
    <w:multiLevelType w:val="hybridMultilevel"/>
    <w:tmpl w:val="4518F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943AA"/>
    <w:multiLevelType w:val="hybridMultilevel"/>
    <w:tmpl w:val="148EF3DC"/>
    <w:lvl w:ilvl="0" w:tplc="9476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CE2491"/>
    <w:multiLevelType w:val="hybridMultilevel"/>
    <w:tmpl w:val="36FE1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B4504"/>
    <w:multiLevelType w:val="hybridMultilevel"/>
    <w:tmpl w:val="AA540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462DE"/>
    <w:multiLevelType w:val="hybridMultilevel"/>
    <w:tmpl w:val="750CD94A"/>
    <w:lvl w:ilvl="0" w:tplc="F294B2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E3E2D"/>
    <w:multiLevelType w:val="hybridMultilevel"/>
    <w:tmpl w:val="C4685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272F3"/>
    <w:multiLevelType w:val="hybridMultilevel"/>
    <w:tmpl w:val="29CA7774"/>
    <w:lvl w:ilvl="0" w:tplc="F294B282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54B37"/>
    <w:multiLevelType w:val="hybridMultilevel"/>
    <w:tmpl w:val="971C9F3A"/>
    <w:lvl w:ilvl="0" w:tplc="0D386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C6E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B28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963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E00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70E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84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4B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0D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0421121"/>
    <w:multiLevelType w:val="hybridMultilevel"/>
    <w:tmpl w:val="89E49552"/>
    <w:lvl w:ilvl="0" w:tplc="E8769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11397"/>
    <w:multiLevelType w:val="hybridMultilevel"/>
    <w:tmpl w:val="5E40236C"/>
    <w:lvl w:ilvl="0" w:tplc="4BC09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08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A9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8B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26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BE4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68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DA6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325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CE14BE2"/>
    <w:multiLevelType w:val="hybridMultilevel"/>
    <w:tmpl w:val="9DDA5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9268F"/>
    <w:multiLevelType w:val="multilevel"/>
    <w:tmpl w:val="5F746A6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6E9C1367"/>
    <w:multiLevelType w:val="hybridMultilevel"/>
    <w:tmpl w:val="D13EB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31825"/>
    <w:multiLevelType w:val="hybridMultilevel"/>
    <w:tmpl w:val="74ECE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3"/>
  </w:num>
  <w:num w:numId="5">
    <w:abstractNumId w:val="11"/>
  </w:num>
  <w:num w:numId="6">
    <w:abstractNumId w:val="16"/>
  </w:num>
  <w:num w:numId="7">
    <w:abstractNumId w:val="14"/>
  </w:num>
  <w:num w:numId="8">
    <w:abstractNumId w:val="7"/>
  </w:num>
  <w:num w:numId="9">
    <w:abstractNumId w:val="17"/>
  </w:num>
  <w:num w:numId="10">
    <w:abstractNumId w:val="6"/>
  </w:num>
  <w:num w:numId="11">
    <w:abstractNumId w:val="5"/>
  </w:num>
  <w:num w:numId="12">
    <w:abstractNumId w:val="3"/>
  </w:num>
  <w:num w:numId="13">
    <w:abstractNumId w:val="12"/>
  </w:num>
  <w:num w:numId="14">
    <w:abstractNumId w:val="10"/>
  </w:num>
  <w:num w:numId="15">
    <w:abstractNumId w:val="8"/>
  </w:num>
  <w:num w:numId="16">
    <w:abstractNumId w:val="15"/>
  </w:num>
  <w:num w:numId="17">
    <w:abstractNumId w:val="15"/>
  </w:num>
  <w:num w:numId="18">
    <w:abstractNumId w:val="9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F2AEF"/>
    <w:rsid w:val="00015C5A"/>
    <w:rsid w:val="00023CD7"/>
    <w:rsid w:val="00074A8F"/>
    <w:rsid w:val="0008414E"/>
    <w:rsid w:val="00091032"/>
    <w:rsid w:val="00097342"/>
    <w:rsid w:val="000B5D71"/>
    <w:rsid w:val="000D0758"/>
    <w:rsid w:val="000D257F"/>
    <w:rsid w:val="000D7889"/>
    <w:rsid w:val="000E094C"/>
    <w:rsid w:val="000E57E4"/>
    <w:rsid w:val="000F3CA9"/>
    <w:rsid w:val="0010242D"/>
    <w:rsid w:val="001039E9"/>
    <w:rsid w:val="00115AB9"/>
    <w:rsid w:val="001421C7"/>
    <w:rsid w:val="0018666F"/>
    <w:rsid w:val="001875A8"/>
    <w:rsid w:val="001C3B2A"/>
    <w:rsid w:val="001C5A5D"/>
    <w:rsid w:val="001E1E03"/>
    <w:rsid w:val="00281667"/>
    <w:rsid w:val="002E7A0D"/>
    <w:rsid w:val="002F0D97"/>
    <w:rsid w:val="003120BD"/>
    <w:rsid w:val="00356C58"/>
    <w:rsid w:val="003863AC"/>
    <w:rsid w:val="00386F9C"/>
    <w:rsid w:val="003A6E30"/>
    <w:rsid w:val="00401403"/>
    <w:rsid w:val="0042774B"/>
    <w:rsid w:val="004325AA"/>
    <w:rsid w:val="00452077"/>
    <w:rsid w:val="00462C56"/>
    <w:rsid w:val="004A07CA"/>
    <w:rsid w:val="004A3A21"/>
    <w:rsid w:val="004D56AB"/>
    <w:rsid w:val="005235E0"/>
    <w:rsid w:val="00530801"/>
    <w:rsid w:val="00542A31"/>
    <w:rsid w:val="005565FA"/>
    <w:rsid w:val="005835B9"/>
    <w:rsid w:val="0059379E"/>
    <w:rsid w:val="005A5179"/>
    <w:rsid w:val="005F7B71"/>
    <w:rsid w:val="006372CC"/>
    <w:rsid w:val="00641D5E"/>
    <w:rsid w:val="00645BD9"/>
    <w:rsid w:val="00653612"/>
    <w:rsid w:val="00654BF1"/>
    <w:rsid w:val="0066361C"/>
    <w:rsid w:val="00675036"/>
    <w:rsid w:val="006861E4"/>
    <w:rsid w:val="006B6AF1"/>
    <w:rsid w:val="006B7D0D"/>
    <w:rsid w:val="006C1C3C"/>
    <w:rsid w:val="006E0F43"/>
    <w:rsid w:val="006F2AEF"/>
    <w:rsid w:val="00706F26"/>
    <w:rsid w:val="007554AF"/>
    <w:rsid w:val="007A3129"/>
    <w:rsid w:val="007A75B7"/>
    <w:rsid w:val="007B1F59"/>
    <w:rsid w:val="007D07F1"/>
    <w:rsid w:val="007D0F31"/>
    <w:rsid w:val="007E0013"/>
    <w:rsid w:val="007F29E7"/>
    <w:rsid w:val="007F62C1"/>
    <w:rsid w:val="00802758"/>
    <w:rsid w:val="00884392"/>
    <w:rsid w:val="00896EDB"/>
    <w:rsid w:val="009056A3"/>
    <w:rsid w:val="009141FC"/>
    <w:rsid w:val="00923D2D"/>
    <w:rsid w:val="0095191B"/>
    <w:rsid w:val="00984040"/>
    <w:rsid w:val="009B14D4"/>
    <w:rsid w:val="009C1EF1"/>
    <w:rsid w:val="009D717F"/>
    <w:rsid w:val="00A27511"/>
    <w:rsid w:val="00A5389A"/>
    <w:rsid w:val="00A801D1"/>
    <w:rsid w:val="00A94808"/>
    <w:rsid w:val="00AA4408"/>
    <w:rsid w:val="00AD199D"/>
    <w:rsid w:val="00AD2023"/>
    <w:rsid w:val="00AD56E7"/>
    <w:rsid w:val="00B24A2D"/>
    <w:rsid w:val="00B544DC"/>
    <w:rsid w:val="00BA05C4"/>
    <w:rsid w:val="00BA179F"/>
    <w:rsid w:val="00BA3E81"/>
    <w:rsid w:val="00BA548C"/>
    <w:rsid w:val="00BB3169"/>
    <w:rsid w:val="00C114C4"/>
    <w:rsid w:val="00C14917"/>
    <w:rsid w:val="00C175FE"/>
    <w:rsid w:val="00C2659A"/>
    <w:rsid w:val="00C7483F"/>
    <w:rsid w:val="00C86BEF"/>
    <w:rsid w:val="00D23290"/>
    <w:rsid w:val="00D43722"/>
    <w:rsid w:val="00D60355"/>
    <w:rsid w:val="00D74667"/>
    <w:rsid w:val="00D92CDD"/>
    <w:rsid w:val="00D9428A"/>
    <w:rsid w:val="00DA2EF5"/>
    <w:rsid w:val="00DD34DD"/>
    <w:rsid w:val="00DF28FF"/>
    <w:rsid w:val="00E10386"/>
    <w:rsid w:val="00E108EC"/>
    <w:rsid w:val="00E10EB4"/>
    <w:rsid w:val="00E12095"/>
    <w:rsid w:val="00E230CC"/>
    <w:rsid w:val="00E82155"/>
    <w:rsid w:val="00E9041A"/>
    <w:rsid w:val="00E91143"/>
    <w:rsid w:val="00EF3033"/>
    <w:rsid w:val="00F07F90"/>
    <w:rsid w:val="00F215C6"/>
    <w:rsid w:val="00F419FF"/>
    <w:rsid w:val="00F472E2"/>
    <w:rsid w:val="00F643E3"/>
    <w:rsid w:val="00F9776C"/>
    <w:rsid w:val="00FC438B"/>
    <w:rsid w:val="00FE5B79"/>
    <w:rsid w:val="00FE64CC"/>
    <w:rsid w:val="00FF0B81"/>
    <w:rsid w:val="00FF1030"/>
    <w:rsid w:val="00FF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7B71"/>
  </w:style>
  <w:style w:type="paragraph" w:styleId="Nadpis1">
    <w:name w:val="heading 1"/>
    <w:basedOn w:val="Normln"/>
    <w:next w:val="Normln"/>
    <w:link w:val="Nadpis1Char"/>
    <w:uiPriority w:val="99"/>
    <w:qFormat/>
    <w:rsid w:val="00FE64CC"/>
    <w:pPr>
      <w:numPr>
        <w:numId w:val="16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ascii="Times New Roman" w:eastAsia="Times New Roman" w:hAnsi="Times New Roman" w:cs="Times New Roman"/>
      <w:b/>
      <w:bCs/>
      <w:caps/>
      <w:color w:val="FFFFFF"/>
      <w:spacing w:val="15"/>
      <w:sz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BEF"/>
  </w:style>
  <w:style w:type="paragraph" w:styleId="Zpat">
    <w:name w:val="footer"/>
    <w:basedOn w:val="Normln"/>
    <w:link w:val="ZpatChar"/>
    <w:uiPriority w:val="99"/>
    <w:unhideWhenUsed/>
    <w:rsid w:val="00C8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BEF"/>
  </w:style>
  <w:style w:type="paragraph" w:styleId="Textbubliny">
    <w:name w:val="Balloon Text"/>
    <w:basedOn w:val="Normln"/>
    <w:link w:val="TextbublinyChar"/>
    <w:uiPriority w:val="99"/>
    <w:semiHidden/>
    <w:unhideWhenUsed/>
    <w:rsid w:val="00C8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B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1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09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114C4"/>
    <w:rPr>
      <w:color w:val="0000FF"/>
      <w:u w:val="single"/>
    </w:rPr>
  </w:style>
  <w:style w:type="character" w:customStyle="1" w:styleId="longtext1">
    <w:name w:val="long_text1"/>
    <w:basedOn w:val="Standardnpsmoodstavce"/>
    <w:rsid w:val="00C114C4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9041A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9"/>
    <w:rsid w:val="00FE64CC"/>
    <w:rPr>
      <w:rFonts w:ascii="Times New Roman" w:eastAsia="Times New Roman" w:hAnsi="Times New Roman" w:cs="Times New Roman"/>
      <w:b/>
      <w:bCs/>
      <w:caps/>
      <w:color w:val="FFFFFF"/>
      <w:spacing w:val="15"/>
      <w:sz w:val="24"/>
      <w:shd w:val="clear" w:color="auto" w:fill="4F81BD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174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62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c-institut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Lenka</cp:lastModifiedBy>
  <cp:revision>4</cp:revision>
  <cp:lastPrinted>2015-11-18T14:53:00Z</cp:lastPrinted>
  <dcterms:created xsi:type="dcterms:W3CDTF">2015-11-19T16:08:00Z</dcterms:created>
  <dcterms:modified xsi:type="dcterms:W3CDTF">2015-11-19T16:38:00Z</dcterms:modified>
</cp:coreProperties>
</file>